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17EA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260"/>
        <w:ind w:firstLine="0" w:left="0" w:right="0"/>
        <w:outlineLvl w:val="0"/>
        <w:rPr>
          <w:rFonts w:ascii="/ 40px Marmelad" w:hAnsi="/ 40px Marmelad"/>
          <w:b w:val="1"/>
          <w:color w:val="1C1C1C"/>
          <w:sz w:val="39"/>
        </w:rPr>
      </w:pPr>
      <w:bookmarkStart w:id="0" w:name="_dx_frag_StartFragment"/>
      <w:bookmarkEnd w:id="0"/>
      <w:r>
        <w:rPr>
          <w:rFonts w:ascii="/ 40px Marmelad" w:hAnsi="/ 40px Marmelad"/>
          <w:b w:val="1"/>
          <w:color w:val="1C1C1C"/>
          <w:sz w:val="39"/>
        </w:rPr>
        <w:t>Материально-техническое обеспечение и оснащённость образовательного процесса</w:t>
      </w:r>
    </w:p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МБОУ «Ново-Идинская СОШ»</w:t>
      </w:r>
    </w:p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Информационно-образовательная среда</w:t>
      </w:r>
    </w:p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Наличие действующего сайта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С целью активного продвижения информационных и коммуникационных технологий в практику работы школы, совершенствования форм взаимодействия с субъектами образовательного процесса и общественностью с 2010 года в образовательном учреждении функционирует сайт.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Координирует работу школьного сайта администратор и заместители директора.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Сайт является школьным публичным органом информации. 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Сайт постоянно обновляется.</w:t>
      </w:r>
    </w:p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Наличие доступа к сети Интернет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Доступ к сети Интернет обеспечивается при помощи выделенной линии скоростью до 2 Мбит/сек. Тип подключения – проводной и Wi-Fi. Компьютеры школы объединены в локальную сеть. Провайдер, предоставляющий услугу доступа к сети Интернет – ООО «ИРСН». Система ограничения доступа в сеть Интернет к ресурсам, не отвечающим задачам воспитания и образования, обеспечивается провайдером. Число персональных ЭВМ, подключенных к сети Интернет, используемых в учебных целях -100%.</w:t>
      </w:r>
    </w:p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Использование дистанционных образовательных технологий в работе ОУ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Дистанционное обучение обеспечивается применением совокупности образовательных технологий, при которых целенаправленное опосредованное или не полностью опосредованное взаимодействие обучающегося и педагога  осуществляется независимо от места их нахождения и распределения во времени на основе педагогически организованных информационных технологий, прежде всего с использованием средств телекоммуникации.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Основной  дистанционной образовательной технологией в нашей школе является Интернет – технология.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Опираясь на нормативно-правовые документы: распоряжение Правительства РФ от 17 декабря 2009 г. № 1993-р (в ред. распоряжения правительства РФ от 07.09.2010 № 1506-р) «Сводный перечень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учреждениями»; Федеральный закон «О защите персональных» № 152-ФЗ от 27.07.2006, мы заключили соглашение о сотрудничестве с ресурсом «Дневник.ру».</w:t>
      </w:r>
    </w:p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предметов инвариантной части учебного плана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Оснащённость образовательного процесса учебным оборудованием для выполнения практических видов занятий, в соответствии с рабочими программами учебных предметов инвариантной части учебного плана предметов: «Физика», «Химия», «Биология», «Технология», «Физическая культура» осуществлено в соответствии с темами практических и лабораторных работ, указанных в соответствующих примерных программах учебных предметов. Определен минимальный набор оборудования, необходимый для реализации практической части отдельных программ учебных предметов.</w:t>
      </w:r>
    </w:p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Оснащенность образовательного процесса учебно-наглядными</w:t>
      </w:r>
    </w:p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средствами обучения в соответствии с рабочими программами учебных предметов инвариантной части учебного плана ООП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Каждый класс начальной школы имеет закрепленное за ним учебное помещение (кабинет), учебное пространство которого  предназначается для осуществления образовательного процесса, внеурочной деятельности и обеспечивается столами для индивидуальной работы и центральной доской. Кабинеты 1,2,3,4 класса оборудованы в соответствии с требованиям ФГОС: кабинет первого класса – интерактивная приставка. Все четыре кабинета оснащены ноутбуками для учителей и обучающихся с выходом в Интернет, проекторами, принтером, многофункциональным устройством (1 на блок начальных классов) и другим учебно-лабораторным оборудованием, полученным по муниципальной программе и двум Федеральным программам.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Для организации всех видов деятельности младших школьников в рамках ООП класс  имеет доступ по расписанию в следующие помещения:</w:t>
      </w:r>
    </w:p>
    <w:p>
      <w:pPr>
        <w:numPr>
          <w:ilvl w:val="0"/>
          <w:numId w:val="3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компьютерный кабинет, имеющий выход в Интернет</w:t>
      </w:r>
    </w:p>
    <w:p>
      <w:pPr>
        <w:numPr>
          <w:ilvl w:val="0"/>
          <w:numId w:val="3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библиотечно-информационный центр;</w:t>
      </w:r>
    </w:p>
    <w:p>
      <w:pPr>
        <w:numPr>
          <w:ilvl w:val="0"/>
          <w:numId w:val="3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спортивная площадка</w:t>
      </w:r>
    </w:p>
    <w:tbl>
      <w:tblPr>
        <w:tblW w:w="0" w:type="auto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Число ПК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35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Из них приобретенных за последний год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16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Используется в учебных целях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26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Число ПК в составе локальной сети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16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Число переносных ПК (ноутбуков)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22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Использование в учебных целях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18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Подключено ли учреждение  к сети Интернет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Да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Тип подключения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Радио (WI-Fi)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Скорость подключения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2Мбит/с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Число подключенных к сети Интернет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35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Из них используется в учебных целях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29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МФУ, принтеры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12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Сканер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1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Проектор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10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Интерактивная доска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1</w:t>
            </w:r>
          </w:p>
        </w:tc>
      </w:tr>
    </w:tbl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Укомплектованность электронными и информационно-образовательными ресурсами по всем учебным предметам учебного плана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В библиотечном информационном центре создан фонд электронных образовательных ресурсов (ЭОР).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Учет и использование ЭОР производится в книги учета выдачи дисков, которые хранятся в информационном центре.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 Современные учебники издаются с электронными приложениями, фонохрестоматиями. Часть приложений хранится в библиотеке, выдаётся учащимся по мере надобности на формуляр учащимся.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В целом уровень обеспеченности учебного процесса дополнительной литературой составляет 95%.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Нехватку дополнительной литературы в помощь образовательному процессу восполняют Интернет-ресурсы. В библиотечном информационном центре имеется 1 компьютер, с доступом в Интернет. Учащиеся получают всю необходимую информацию, могут найти и прочесть любое произведение в электронном варианте.</w:t>
      </w:r>
    </w:p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Учебно-методическое обеспечение, информационные        ресурсы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"http://www.yarus.aspu.ru/"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http://www.yarus.aspu.ru/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портал русского языка:on-line тестирование иon-line диктанты 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"http://language.edu.ru/"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http://language.edu.ru/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коллекция диктантов по русскому языку (реализована возможность прослушивания диктанта целиком и отдельно по предложениям); правила орфографии и пунктуации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Интернет-ресурсы для учителя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"http://magazines.ru/"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http://magazines.ru/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здесь размещено 24 журнала: «Вопросы литературы», «Дружба народов», «Звезда», «Знамя». «Иностранная литература, «Нева», «Новая юность» и т.д. 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"http://www.gramma.ru/"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http://www.gramma.ru/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портал «Культура письменной речи» -подборка материалов по ЕГЭ; статьи специалистов АППО (Белова М.Г о формировании Универсальных учебных действий)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"http://www.rcokoit.ru/-"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http://www.rcokoit.ru/-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сайт РЦОКОиИТ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"http://www.uroki.net/docrus.htm/"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http://www.uroki.net/docrus.htm/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разработки для учителей русского языка и литературы; большая коллекция детских песен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"http://zavuch.info/"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http://zavuch.info/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сайт для завучей и учителей (документы, аттестация);юридические вопросы; размещение материалов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"http://www.openlesson.ru/"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http://www.openlesson.ru/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уроки, эссе,творческие статьи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"http://www.uchportal.ru/"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http://www.uchportal.ru/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учительский портал: уроки, презентации по русскому языку и литературе, планирование, тесты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"http://www.proshkolu.ru/"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http://www.proshkolu.ru/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методические разработки; возможность публикации Ьйр://аудиохрестоматия.рф/ - мировая литература голосами мастеров сцены 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"http://krotov.info/Iib_sec/21_f/fed/osyuk"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http://krotov.info/Iib_sec/21_f/fed/osyuk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OO.htm - «Что непонятно у классиков?» -энциклопедия русского быта XIX века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Электронные библиотеки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"http://www.ebdb.ru/"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http://www.ebdb.ru/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поисковая система по электронным библиотекам 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"http://webreading.ru/"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http://webreading.ru/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удобный поисковик по авторам и по жанрам, новинки литературы (Word)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"http://lib.prosv.ru/"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http://lib.prosv.ru/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библиотека - вся школьная программа по литературе на одном сайте (Word)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"http://feb-web.ru/"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http://feb-web.ru/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электронная библиотека - русская литература и фольклор. Основное содержание ФЭБ представлено в электронных научных изданиях, каждое из которых посвящено отдельному автору, жанру, произведению. 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"http://rvb.ru/"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http://rvb.ru/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русская виртуальная библиотека 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"http://lib.ru/"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http://lib.ru/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библиотека Максима Мошкова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instrText>HYPERLINK "http://imwerden.de/"</w:instrTex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t>http://imwerden.de/</w:t>
      </w:r>
      <w:r>
        <w:rPr>
          <w:rStyle w:val="C2"/>
          <w:rFonts w:ascii="Arial" w:hAnsi="Arial"/>
          <w:b w:val="0"/>
          <w:i w:val="0"/>
          <w:strike w:val="0"/>
          <w:color w:val="16683F"/>
          <w:sz w:val="24"/>
          <w:u w:val="none"/>
          <w:shd w:val="nil" w:fill="auto"/>
        </w:rPr>
        <w:fldChar w:fldCharType="end"/>
      </w:r>
      <w:r>
        <w:rPr>
          <w:rFonts w:ascii="Arial" w:hAnsi="Arial"/>
          <w:b w:val="0"/>
          <w:i w:val="0"/>
          <w:color w:val="828282"/>
          <w:sz w:val="24"/>
        </w:rPr>
        <w:t> - библиотека редких изданий; коллекция авторского чтения;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документальное видео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ТРЕНАЖЕРЫ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мультимедиа-комплект «1С: Репетитор. Русский язык»;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«Программа-тренажер по русскому языку «Фраза»; «Большая энциклопедия Кирилла и Мефодия»;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Программно-методический комплекс для формирования навыков орфографической и пунктуационной грамотности «Электронный репетитор - тренажёр «Курс русского языка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(базовый)»;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Уроки Кирилла и Мефодия по русскому языку и литературе (серия «Виртуальная школа Кирилла и Мефодия»;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Репетиторы по русскому языку и литературе Кирилла и Мефодия (серия «ЕГЭ - 2009»); Интерактивный курс подготовки к ЕГЭ. Русский язык; тренажёр «Русленг»; орфоэпический тренажёр.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Диски: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Уроки литературы   (6-10 классы). Мультимедийное приложение к урокам. Глобус.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Русские народные сказки. Для уроков литературы. 3 диска.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Элективные курсы. Русский язык. Литература.  Учитель.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Классическая музыка.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1 С : Репетитор. Тесты по орфографии. Москва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1 С : Репетитор. Русский язык. Весь школьный курс.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1 С : Репетитор. Тесты по пунктуации.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Русский язык. 9 класс. Видеоуроки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Декабристы в Иркутске. Видео.  Иркутск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Уроки русского языка Кирилла и Мефодия. 8-9 классы.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Серия дисков  к газете «Первое сентября» ( ежемесячно с 2011-2014).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Уроки литературы Кирилла и Мефодия. 7-8 классы.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Повторение и контроль знаний по литературе и внеклассных мероприятиях. 5 класс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Фонохрестоматия по литературе. 5 кл, 7 кл, 9 кл. К учебнику Коровиной, Г.С.Меркина</w:t>
      </w:r>
    </w:p>
    <w:p>
      <w:pPr>
        <w:numPr>
          <w:ilvl w:val="0"/>
          <w:numId w:val="4"/>
        </w:numPr>
        <w:spacing w:before="0" w:after="0"/>
        <w:ind w:hanging="360" w:left="72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Аудиокниги: А.Блок, С.Есенин, Б.Окуджава идр. Поэты- барды.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Сетевое взаимодействие с учреждениями образования различного уровня</w:t>
      </w:r>
    </w:p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В целостном пространстве развития и воспитания личности школьника социально-педагогическое партнёрство играет  важную роль. Традиционно крепкие связи налажены с рядом организаций района и области, что позволяет обучающимся сельской школы получать опыт социализации и гражданского поведения.</w:t>
      </w:r>
    </w:p>
    <w:tbl>
      <w:tblPr>
        <w:tblW w:w="0" w:type="auto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jc w:val="center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Учреждение/организация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jc w:val="center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Нормативно-правовое обеспечение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jc w:val="center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Предмет совместной деятельности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Управление образования МО «Боханский  район»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Организация конкурсов, олимпиад, мероприятий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МБДОУ «Ново-Идинский детский сад «Берёзка»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Договор о взаимодействии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Подготовка детей к школе, реализация преемственности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МБУК «Социально-культурный центр «Идиночка»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Договор о сотрудничестве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Конкурсы, совместные мероприятия, формирование читательской компетентности Организация мероприятий, кружков, конкурсов; формирование гражданской позиции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МБОУ ДОД «Боханский ДДТ»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Договор о сотрудничестве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Организация кружков, вовлечение в ДО, развитие творческих способностей обучающихся, участие в фестивалях и конкурсах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Отдел по молодёжной политике администрации МО «Новая Ида»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Договор  о взаимодействии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Организация  внеурочной занятости детей, проведение конкурсов и мероприятий на уровне МО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МБОУ ДОД «Боханская  ДЮСШ»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Договор  о взаимодействии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Организация  спортивных секций и кружков, спортивных мероприятий на базе школы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ОГБОУ «Боханский педагогический колледж им.Доржи Банзарова»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Профориентация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МБОУ г. Иркутска СОШ с углубленным изучением отдельных предметов 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Организация конкурсов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ООО «Олимпус», г.Калинград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Организация конкурсов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Центр развития талантливой молодёжи, г Бийск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 w:right="0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Организация  конкурсов</w:t>
            </w:r>
          </w:p>
        </w:tc>
      </w:tr>
    </w:tbl>
    <w:p>
      <w:pPr>
        <w:spacing w:before="240" w:after="240"/>
        <w:ind w:firstLine="0" w:left="0" w:right="0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В рамках реализации Программы развития школы осуществляется взаимодействие с разными субъектами социального партнёрства</w:t>
      </w:r>
    </w:p>
    <w:tbl>
      <w:tblPr>
        <w:tblW w:w="0" w:type="auto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jc w:val="center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Субъекты социального партнерства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jc w:val="center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Формы взаимодействия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jc w:val="center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Результат взаимодействия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Родители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Общешкольный родительский комитет, родительские собрания, Дни открытых дверей, конкурсы, мероприятия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Вовлечение в образовательный процесс и управление школой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Администрация МО «Новая Ида»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Встречи, беседы  с  главой МО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Постановка на учет, совместные мероприятия по военно-патриотическому воспитанию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Укрепление взаимодействия, формирование гражданской позиции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Формирование патриотического сознания,  воспитание чувства гражданского долга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Органы  местного самоуправления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(сельская Дума)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Организация встреч, бесед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Формирование активной гражданской позиции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Администрация МО «Боханский район»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Встречи мэра района с одаренными  детьми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Повышение рейтинга школы, личная удовлетворенность участников встречи, мотивация в успешной деятельности обучающихся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ОГУ «Центр занятости населения Боханского района»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Организация временной трудовой занятости несовершеннолетних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Летняя занятость обучающихся (в  том числе детей «группы риска»), получение  знаний трудовых отношений.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Отдел полиции (дислокация с. Бохан) МО МВД России «Боханский»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Проведение профилактической работы, организация конкурсов (Инспекторы ЮИД, совместные рейды на дороге)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Повышение правовой компетенции всех участников образовательного процесса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Комиссия по делам несовершеннолетних и защите их прав МО «Боханский район»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Решение правовых вопросов в отношении родителей несовершеннолетних детей, уклоняющихся от воспитания своих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Формирование правовых знаний,повышение уровня ответственности родителей за воспитание детей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Отдел  по делам молодежи и спорта МО «Боханский район»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Акции, совместные мероприятия, творческие конкурсы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Формирование активной гражданской позиции, патриотического сознания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Газета «Сельская Правда»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Публикации статей юнкоров, учителей, проведение конкурсов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Повышение имиджа школы, развитие творческих способностей, мотивация к успешной деятельности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Управление министерства социального развития, опеки и попечительства Иркутской области по Боханскому району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Организация льготного питания, оформление опеки над детьми, благотворительная помощь малообеспеченным семьям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Опека социально-незащищенных слоев населения, сирот и семей приёмных детей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Муниципальное Учреждение Здравоохранения «Ново-Идинский фельдшерско-акушерский пункт».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 Организация  медицинского обслуживания обучающихся, проведение профилактической и просветительской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Формирование навыков ЗОЖ, профилактика вредных привычек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ОГУ «Центр содействия семье и  детям»»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Помощь  социально незащищенным семьям, организация  оздоровительного сезона и санаторно-курортного оздоровления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Психолого-педагогическая помощь семьям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Формирование  здорового образа жизни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Территориальное отделение РОСПОТРЕБНАДЗОРа по Иркутской области в Осинском, Боханском районах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Контроль за соблюдением норм СаН ПИН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Соблюдение требований санитарно- эпидемиологических норм в процессе организации УВП</w:t>
            </w:r>
          </w:p>
        </w:tc>
      </w:tr>
    </w:tbl>
    <w:p>
      <w:pPr>
        <w:spacing w:before="240" w:after="240"/>
        <w:ind w:firstLine="0" w:left="0" w:right="0"/>
        <w:jc w:val="center"/>
        <w:rPr>
          <w:rFonts w:ascii="Arial" w:hAnsi="Arial"/>
          <w:b w:val="0"/>
          <w:i w:val="0"/>
          <w:color w:val="828282"/>
          <w:sz w:val="24"/>
        </w:rPr>
      </w:pPr>
      <w:r>
        <w:rPr>
          <w:rFonts w:ascii="Arial" w:hAnsi="Arial"/>
          <w:b w:val="0"/>
          <w:i w:val="0"/>
          <w:color w:val="828282"/>
          <w:sz w:val="24"/>
        </w:rPr>
        <w:t>Социально-значимые проекты, реализуемые в школе ежегодно</w:t>
      </w:r>
    </w:p>
    <w:tbl>
      <w:tblPr>
        <w:tblW w:w="0" w:type="auto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jc w:val="center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Социально-значимые проекты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jc w:val="center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уровень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Ежегодный проект «Школа – территория здоровья»( Осенняя и весенняя спортивные игры детей на центральном сельском стадионе «Труженик» по 7 видам спорта.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Направлен на создание необходимых условий для оздоровления, отдыха и рационального использования каникулярного времени у обучающихся, формирование у них общей культуры и навыков здорового образа жизни.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Школьный уровень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Традиционный турнир по волейболу, посвящённый памяти старейшего учителя физкультуры Александра Михайловича Романова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Направлен на популяризацию волейбола, создание условий для оздоровления и формирования  физической культуры обучающихся.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Районный уровень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Традиционный турнир по вольной борьбе на призы старейшего учителя физической культуры Петра Егоровича Муриханова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Направлен на популяризацию вольной борьбы, создание условий для оздоровления и формирования  физической культуры обучающихся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Региональный уровень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Легкоатлетический кросс,  посвященный Дню Победы.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Школьный уровень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Традиционный турнир по волейболу, посвященный Дню Победы.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Направлен на популяризацию волейбола, создание условий для оздоровления и формирования  физической культуры обучающихся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Школьный уровень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Районный краеведческий фестиваль «Я люблю эту землю!»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( раз в 2 года)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Предполагает  реализацию разнообразных мероприятий по изучению национальной истории, культуры народов Боханского района,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Усть-Ордынского Бурятского округа  воспитанию национального самосознания и сохранению семейных ценностей, национальной и расовой  толерантности.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межрайонный уровень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Операция «Забота»( волонтёрское движение «Твори добро»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Проект предполагает оказание  посильной помощи  по хозяйству одиноким людям пожилого возраста, ветеранам труда; поздравление   с праздниками.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Школьный уровень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«Вахта памяти»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Проект выполняется к празднику Победы и включает в себя  следующие мероприятия: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- выставка рисунков «Мы не хотим войны!»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 - Вахта памяти у обелиска погибшим односельчанам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- изготовление и возложение  гирлянды к памятнику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-  проведение легкоатлетического кросса.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Сельский уровень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«Военно-патриотический месячник»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В рамках проекта проводятся  тематические мероприятия: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  все классы встречаются с участниками боевых действий в современное время, ветеранами тыла, детьми войны.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</w:pPr>
            <w:r>
              <w:rPr>
                <w:rFonts w:ascii="Arial" w:hAnsi="Arial"/>
                <w:b w:val="0"/>
                <w:i w:val="0"/>
                <w:color w:val="828282"/>
                <w:sz w:val="24"/>
                <w:shd w:val="nil" w:fill="auto"/>
              </w:rPr>
              <w:t>Школьный уровень</w:t>
            </w:r>
          </w:p>
        </w:tc>
      </w:tr>
    </w:tbl>
    <w:p/>
    <w:sectPr>
      <w:type w:val="nextPage"/>
      <w:pgMar w:left="1701" w:right="850" w:top="759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2F84245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1212"/>
      </w:pPr>
      <w:rPr/>
    </w:lvl>
    <w:lvl w:ilvl="1">
      <w:start w:val="1"/>
      <w:numFmt w:val="decimal"/>
      <w:suff w:val="tab"/>
      <w:lvlText w:val="%1.%2."/>
      <w:lvlJc w:val="left"/>
      <w:pPr>
        <w:spacing w:lineRule="auto" w:line="240" w:after="0" w:beforeAutospacing="0" w:afterAutospacing="0"/>
        <w:ind w:hanging="720" w:left="1571"/>
      </w:pPr>
      <w:rPr/>
    </w:lvl>
    <w:lvl w:ilvl="2">
      <w:start w:val="1"/>
      <w:numFmt w:val="decimal"/>
      <w:suff w:val="tab"/>
      <w:lvlText w:val="%1.%2.%3."/>
      <w:lvlJc w:val="left"/>
      <w:pPr>
        <w:spacing w:lineRule="auto" w:line="240" w:after="0" w:beforeAutospacing="0" w:afterAutospacing="0"/>
        <w:ind w:hanging="720" w:left="1571"/>
      </w:pPr>
      <w:rPr/>
    </w:lvl>
    <w:lvl w:ilvl="3">
      <w:start w:val="1"/>
      <w:numFmt w:val="decimal"/>
      <w:suff w:val="tab"/>
      <w:lvlText w:val="%1.%2.%3.%4."/>
      <w:lvlJc w:val="left"/>
      <w:pPr>
        <w:spacing w:lineRule="auto" w:line="240" w:after="0" w:beforeAutospacing="0" w:afterAutospacing="0"/>
        <w:ind w:hanging="1080" w:left="1931"/>
      </w:pPr>
      <w:rPr/>
    </w:lvl>
    <w:lvl w:ilvl="4">
      <w:start w:val="1"/>
      <w:numFmt w:val="decimal"/>
      <w:suff w:val="tab"/>
      <w:lvlText w:val="%1.%2.%3.%4.%5."/>
      <w:lvlJc w:val="left"/>
      <w:pPr>
        <w:spacing w:lineRule="auto" w:line="240" w:after="0" w:beforeAutospacing="0" w:afterAutospacing="0"/>
        <w:ind w:hanging="1080" w:left="1931"/>
      </w:pPr>
      <w:rPr/>
    </w:lvl>
    <w:lvl w:ilvl="5">
      <w:start w:val="1"/>
      <w:numFmt w:val="decimal"/>
      <w:suff w:val="tab"/>
      <w:lvlText w:val="%1.%2.%3.%4.%5.%6."/>
      <w:lvlJc w:val="left"/>
      <w:pPr>
        <w:spacing w:lineRule="auto" w:line="240" w:after="0" w:beforeAutospacing="0" w:afterAutospacing="0"/>
        <w:ind w:hanging="1440" w:left="2291"/>
      </w:pPr>
      <w:rPr/>
    </w:lvl>
    <w:lvl w:ilvl="6">
      <w:start w:val="1"/>
      <w:numFmt w:val="decimal"/>
      <w:suff w:val="tab"/>
      <w:lvlText w:val="%1.%2.%3.%4.%5.%6.%7."/>
      <w:lvlJc w:val="left"/>
      <w:pPr>
        <w:spacing w:lineRule="auto" w:line="240" w:after="0" w:beforeAutospacing="0" w:afterAutospacing="0"/>
        <w:ind w:hanging="1800" w:left="2651"/>
      </w:pPr>
      <w:rPr/>
    </w:lvl>
    <w:lvl w:ilvl="7">
      <w:start w:val="1"/>
      <w:numFmt w:val="decimal"/>
      <w:suff w:val="tab"/>
      <w:lvlText w:val="%1.%2.%3.%4.%5.%6.%7.%8."/>
      <w:lvlJc w:val="left"/>
      <w:pPr>
        <w:spacing w:lineRule="auto" w:line="240" w:after="0" w:beforeAutospacing="0" w:afterAutospacing="0"/>
        <w:ind w:hanging="1800" w:left="2651"/>
      </w:pPr>
      <w:rPr/>
    </w:lvl>
    <w:lvl w:ilvl="8">
      <w:start w:val="1"/>
      <w:numFmt w:val="decimal"/>
      <w:suff w:val="tab"/>
      <w:lvlText w:val="%1.%2.%3.%4.%5.%6.%7.%8.%9."/>
      <w:lvlJc w:val="left"/>
      <w:pPr>
        <w:spacing w:lineRule="auto" w:line="240" w:after="0" w:beforeAutospacing="0" w:afterAutospacing="0"/>
        <w:ind w:hanging="2160" w:left="3011"/>
      </w:pPr>
      <w:rPr/>
    </w:lvl>
  </w:abstractNum>
  <w:abstractNum w:abstractNumId="1">
    <w:nsid w:val="741A51B8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1212"/>
      </w:pPr>
      <w:rPr>
        <w:rFonts w:ascii="Symbol" w:hAnsi="Symbol"/>
      </w:rPr>
    </w:lvl>
    <w:lvl w:ilvl="1">
      <w:start w:val="1"/>
      <w:numFmt w:val="decimal"/>
      <w:suff w:val="tab"/>
      <w:lvlText w:val="%1.%2."/>
      <w:lvlJc w:val="left"/>
      <w:pPr>
        <w:spacing w:lineRule="auto" w:line="240" w:after="0" w:beforeAutospacing="0" w:afterAutospacing="0"/>
        <w:ind w:hanging="720" w:left="1571"/>
      </w:pPr>
      <w:rPr/>
    </w:lvl>
    <w:lvl w:ilvl="2">
      <w:start w:val="1"/>
      <w:numFmt w:val="decimal"/>
      <w:suff w:val="tab"/>
      <w:lvlText w:val="%1.%2.%3."/>
      <w:lvlJc w:val="left"/>
      <w:pPr>
        <w:spacing w:lineRule="auto" w:line="240" w:after="0" w:beforeAutospacing="0" w:afterAutospacing="0"/>
        <w:ind w:hanging="720" w:left="1571"/>
      </w:pPr>
      <w:rPr/>
    </w:lvl>
    <w:lvl w:ilvl="3">
      <w:start w:val="1"/>
      <w:numFmt w:val="decimal"/>
      <w:suff w:val="tab"/>
      <w:lvlText w:val="%1.%2.%3.%4."/>
      <w:lvlJc w:val="left"/>
      <w:pPr>
        <w:spacing w:lineRule="auto" w:line="240" w:after="0" w:beforeAutospacing="0" w:afterAutospacing="0"/>
        <w:ind w:hanging="1080" w:left="1931"/>
      </w:pPr>
      <w:rPr/>
    </w:lvl>
    <w:lvl w:ilvl="4">
      <w:start w:val="1"/>
      <w:numFmt w:val="decimal"/>
      <w:suff w:val="tab"/>
      <w:lvlText w:val="%1.%2.%3.%4.%5."/>
      <w:lvlJc w:val="left"/>
      <w:pPr>
        <w:spacing w:lineRule="auto" w:line="240" w:after="0" w:beforeAutospacing="0" w:afterAutospacing="0"/>
        <w:ind w:hanging="1080" w:left="1931"/>
      </w:pPr>
      <w:rPr/>
    </w:lvl>
    <w:lvl w:ilvl="5">
      <w:start w:val="1"/>
      <w:numFmt w:val="decimal"/>
      <w:suff w:val="tab"/>
      <w:lvlText w:val="%1.%2.%3.%4.%5.%6."/>
      <w:lvlJc w:val="left"/>
      <w:pPr>
        <w:spacing w:lineRule="auto" w:line="240" w:after="0" w:beforeAutospacing="0" w:afterAutospacing="0"/>
        <w:ind w:hanging="1440" w:left="2291"/>
      </w:pPr>
      <w:rPr/>
    </w:lvl>
    <w:lvl w:ilvl="6">
      <w:start w:val="1"/>
      <w:numFmt w:val="decimal"/>
      <w:suff w:val="tab"/>
      <w:lvlText w:val="%1.%2.%3.%4.%5.%6.%7."/>
      <w:lvlJc w:val="left"/>
      <w:pPr>
        <w:spacing w:lineRule="auto" w:line="240" w:after="0" w:beforeAutospacing="0" w:afterAutospacing="0"/>
        <w:ind w:hanging="1800" w:left="2651"/>
      </w:pPr>
      <w:rPr/>
    </w:lvl>
    <w:lvl w:ilvl="7">
      <w:start w:val="1"/>
      <w:numFmt w:val="decimal"/>
      <w:suff w:val="tab"/>
      <w:lvlText w:val="%1.%2.%3.%4.%5.%6.%7.%8."/>
      <w:lvlJc w:val="left"/>
      <w:pPr>
        <w:spacing w:lineRule="auto" w:line="240" w:after="0" w:beforeAutospacing="0" w:afterAutospacing="0"/>
        <w:ind w:hanging="1800" w:left="2651"/>
      </w:pPr>
      <w:rPr/>
    </w:lvl>
    <w:lvl w:ilvl="8">
      <w:start w:val="1"/>
      <w:numFmt w:val="decimal"/>
      <w:suff w:val="tab"/>
      <w:lvlText w:val="%1.%2.%3.%4.%5.%6.%7.%8.%9."/>
      <w:lvlJc w:val="left"/>
      <w:pPr>
        <w:spacing w:lineRule="auto" w:line="240" w:after="0" w:beforeAutospacing="0" w:afterAutospacing="0"/>
        <w:ind w:hanging="2160" w:left="3011"/>
      </w:pPr>
      <w:rPr/>
    </w:lvl>
  </w:abstractNum>
  <w:abstractNum w:abstractNumId="2">
    <w:nsid w:val="51493055"/>
    <w:multiLevelType w:val="hybridMultilevel"/>
    <w:lvl w:ilvl="0" w:tplc="2F563EB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D490284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6A24A3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E31EA1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1FE290C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47A0F8B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E06E38F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DB5A0C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33054A7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060A49AE"/>
    <w:multiLevelType w:val="hybridMultilevel"/>
    <w:lvl w:ilvl="0" w:tplc="76F2E23C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CB8D8D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63CA49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9F57FF8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9D730ED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642B89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AB3BB32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B05877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336517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List Paragraph"/>
    <w:basedOn w:val="P0"/>
    <w:next w:val="P1"/>
    <w:pPr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